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Ordination and Installation of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Elders and Deacons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January 21, 2024 service at Webster Presbyterian Church conducted the Ordination and Installations for: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Ruling Elders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Judy Brown (Class of 2025)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Kathy Dixon (Class of 2026)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James Kinzler (Class of 2026)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Kristy Russell (class of 2024)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Joe Schwarz (class of 2026) 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Dennis Waehner (Class of 2026)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Deacons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Laura Bryan (Class of 2026)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Susan Fox (Class o 2026)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Deborah Masden (Class of 2026)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Vicki Smith (1 year floating term)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Rev. Tom Sharon opens ordination and installation with scripture from 1 Cor: 12:4-7, 27</w:t>
      </w:r>
    </w:p>
    <w:p>
      <w:pPr>
        <w:pStyle w:val="Body"/>
        <w:jc w:val="lef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There are varieties of gifts, but it Is the same Spirit who gives them.</w:t>
      </w:r>
    </w:p>
    <w:p>
      <w:pPr>
        <w:pStyle w:val="Body"/>
        <w:jc w:val="lef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There are different ways of serving God, but it is the same Lord who Is served.</w:t>
      </w:r>
    </w:p>
    <w:p>
      <w:pPr>
        <w:pStyle w:val="Body"/>
        <w:jc w:val="lef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God works through each person in a unique way, but it is God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s purpose that is accomplished.To each is given a gift of the Spirit to be used for the common good.</w:t>
      </w:r>
    </w:p>
    <w:p>
      <w:pPr>
        <w:pStyle w:val="Body"/>
        <w:jc w:val="left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Together we are the body of Christ and individually members of it.</w:t>
      </w:r>
    </w:p>
    <w:p>
      <w:pPr>
        <w:pStyle w:val="Body"/>
        <w:jc w:val="left"/>
        <w:rPr>
          <w:i w:val="1"/>
          <w:iCs w:val="1"/>
        </w:rPr>
      </w:pPr>
    </w:p>
    <w:p>
      <w:pPr>
        <w:pStyle w:val="Body"/>
        <w:jc w:val="left"/>
      </w:pPr>
      <w:r>
        <w:rPr>
          <w:sz w:val="28"/>
          <w:szCs w:val="28"/>
          <w:rtl w:val="0"/>
          <w:lang w:val="en-US"/>
        </w:rPr>
        <w:t xml:space="preserve">After taking their vows these officers are now active deacons and elders in the church of Jesus Christ and for this congregation.  Rev. Sharon said to them,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Be faithful and true in your ministry so your whole life bears witness in our crucified and risen Lord, Jesus Christ</w:t>
      </w:r>
      <w:r>
        <w:rPr>
          <w:sz w:val="28"/>
          <w:szCs w:val="28"/>
          <w:rtl w:val="0"/>
          <w:lang w:val="en-US"/>
        </w:rPr>
        <w:t>”</w:t>
      </w:r>
      <w:r>
        <w:rPr>
          <w:sz w:val="28"/>
          <w:szCs w:val="28"/>
          <w:rtl w:val="0"/>
          <w:lang w:val="en-US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