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Webster Presbyterian Church</w:t>
      </w:r>
    </w:p>
    <w:p>
      <w:pPr>
        <w:pStyle w:val="Body"/>
        <w:rPr>
          <w:b w:val="1"/>
          <w:bCs w:val="1"/>
        </w:rPr>
      </w:pPr>
      <w:r>
        <w:rPr>
          <w:b w:val="1"/>
          <w:bCs w:val="1"/>
          <w:rtl w:val="0"/>
          <w:lang w:val="en-US"/>
        </w:rPr>
        <w:t>2025 Annual Congregational Meeting Minutes</w:t>
      </w:r>
    </w:p>
    <w:p>
      <w:pPr>
        <w:pStyle w:val="Body"/>
        <w:rPr>
          <w:b w:val="1"/>
          <w:bCs w:val="1"/>
        </w:rPr>
      </w:pPr>
      <w:r>
        <w:rPr>
          <w:b w:val="1"/>
          <w:bCs w:val="1"/>
          <w:rtl w:val="0"/>
          <w:lang w:val="en-US"/>
        </w:rPr>
        <w:t>February 15, 2026</w:t>
      </w:r>
    </w:p>
    <w:p>
      <w:pPr>
        <w:pStyle w:val="Body"/>
        <w:rPr>
          <w:b w:val="1"/>
          <w:bCs w:val="1"/>
        </w:rPr>
      </w:pPr>
    </w:p>
    <w:p>
      <w:pPr>
        <w:pStyle w:val="Body"/>
        <w:bidi w:val="0"/>
      </w:pPr>
      <w:r>
        <w:rPr>
          <w:rtl w:val="0"/>
        </w:rPr>
        <w:t>The annual Congregational and Corporate meeting of Webster Presbyterian Church</w:t>
      </w:r>
    </w:p>
    <w:p>
      <w:pPr>
        <w:pStyle w:val="Body"/>
        <w:rPr>
          <w:b w:val="1"/>
          <w:bCs w:val="1"/>
        </w:rPr>
      </w:pPr>
      <w:r>
        <w:rPr>
          <w:b w:val="1"/>
          <w:bCs w:val="1"/>
          <w:rtl w:val="0"/>
          <w:lang w:val="en-US"/>
        </w:rPr>
        <w:t xml:space="preserve">Moderator:  </w:t>
      </w:r>
      <w:r>
        <w:rPr>
          <w:b w:val="0"/>
          <w:bCs w:val="0"/>
          <w:rtl w:val="0"/>
          <w:lang w:val="en-US"/>
        </w:rPr>
        <w:t>Associate Pastor Kathy Sebring opened in prayer</w:t>
      </w:r>
    </w:p>
    <w:p>
      <w:pPr>
        <w:pStyle w:val="Body"/>
        <w:bidi w:val="0"/>
      </w:pPr>
    </w:p>
    <w:p>
      <w:pPr>
        <w:pStyle w:val="Body"/>
        <w:rPr>
          <w:b w:val="0"/>
          <w:bCs w:val="0"/>
        </w:rPr>
      </w:pPr>
      <w:r>
        <w:rPr>
          <w:b w:val="1"/>
          <w:bCs w:val="1"/>
          <w:rtl w:val="0"/>
          <w:lang w:val="en-US"/>
        </w:rPr>
        <w:t xml:space="preserve">Quorum:  </w:t>
      </w:r>
      <w:r>
        <w:rPr>
          <w:b w:val="0"/>
          <w:bCs w:val="0"/>
          <w:rtl w:val="0"/>
          <w:lang w:val="en-US"/>
        </w:rPr>
        <w:t>66 in attendance met at 11:17am</w:t>
      </w:r>
    </w:p>
    <w:p>
      <w:pPr>
        <w:pStyle w:val="Body"/>
        <w:rPr>
          <w:b w:val="0"/>
          <w:bCs w:val="0"/>
        </w:rPr>
      </w:pPr>
    </w:p>
    <w:p>
      <w:pPr>
        <w:pStyle w:val="Body"/>
        <w:rPr>
          <w:b w:val="0"/>
          <w:bCs w:val="0"/>
        </w:rPr>
      </w:pPr>
      <w:r>
        <w:rPr>
          <w:b w:val="1"/>
          <w:bCs w:val="1"/>
          <w:rtl w:val="0"/>
          <w:lang w:val="en-US"/>
        </w:rPr>
        <w:t xml:space="preserve">Purpose:  </w:t>
      </w:r>
      <w:r>
        <w:rPr>
          <w:b w:val="0"/>
          <w:bCs w:val="0"/>
          <w:rtl w:val="0"/>
          <w:lang w:val="en-US"/>
        </w:rPr>
        <w:t>to announce that all annual committee reports are provided in a packet and on the church website.  Also the purpose of the meeting was to receive the church</w:t>
      </w:r>
      <w:r>
        <w:rPr>
          <w:b w:val="0"/>
          <w:bCs w:val="0"/>
          <w:rtl w:val="0"/>
          <w:lang w:val="en-US"/>
        </w:rPr>
        <w:t>’</w:t>
      </w:r>
      <w:r>
        <w:rPr>
          <w:b w:val="0"/>
          <w:bCs w:val="0"/>
          <w:rtl w:val="0"/>
          <w:lang w:val="en-US"/>
        </w:rPr>
        <w:t>s financial report, as reported by treasurer, Kevin Snowden.</w:t>
      </w:r>
    </w:p>
    <w:p>
      <w:pPr>
        <w:pStyle w:val="Body"/>
        <w:rPr>
          <w:b w:val="0"/>
          <w:bCs w:val="0"/>
        </w:rPr>
      </w:pPr>
    </w:p>
    <w:p>
      <w:pPr>
        <w:pStyle w:val="Body"/>
        <w:rPr>
          <w:b w:val="1"/>
          <w:bCs w:val="1"/>
        </w:rPr>
      </w:pPr>
      <w:r>
        <w:rPr>
          <w:b w:val="1"/>
          <w:bCs w:val="1"/>
          <w:rtl w:val="0"/>
          <w:lang w:val="en-US"/>
        </w:rPr>
        <w:t xml:space="preserve">Amend Report: </w:t>
      </w:r>
    </w:p>
    <w:p>
      <w:pPr>
        <w:pStyle w:val="Body"/>
        <w:numPr>
          <w:ilvl w:val="0"/>
          <w:numId w:val="2"/>
        </w:numPr>
        <w:rPr>
          <w:b w:val="1"/>
          <w:bCs w:val="1"/>
          <w:lang w:val="en-US"/>
        </w:rPr>
      </w:pPr>
      <w:r>
        <w:rPr>
          <w:b w:val="0"/>
          <w:bCs w:val="0"/>
          <w:rtl w:val="0"/>
          <w:lang w:val="en-US"/>
        </w:rPr>
        <w:t>Pat Koester reported that the Mission committee also put together Seafarers boxes.</w:t>
      </w:r>
      <w:r>
        <w:rPr>
          <w:b w:val="1"/>
          <w:bCs w:val="1"/>
          <w:rtl w:val="0"/>
          <w:lang w:val="en-US"/>
        </w:rPr>
        <w:t xml:space="preserve">  </w:t>
      </w:r>
    </w:p>
    <w:p>
      <w:pPr>
        <w:pStyle w:val="Body"/>
        <w:numPr>
          <w:ilvl w:val="0"/>
          <w:numId w:val="2"/>
        </w:numPr>
        <w:rPr>
          <w:b w:val="1"/>
          <w:bCs w:val="1"/>
          <w:lang w:val="en-US"/>
        </w:rPr>
      </w:pPr>
      <w:r>
        <w:rPr>
          <w:b w:val="0"/>
          <w:bCs w:val="0"/>
          <w:rtl w:val="0"/>
          <w:lang w:val="en-US"/>
        </w:rPr>
        <w:t>Remove Jamee Wilson</w:t>
      </w:r>
      <w:r>
        <w:rPr>
          <w:b w:val="0"/>
          <w:bCs w:val="0"/>
          <w:rtl w:val="0"/>
          <w:lang w:val="en-US"/>
        </w:rPr>
        <w:t>’</w:t>
      </w:r>
      <w:r>
        <w:rPr>
          <w:b w:val="0"/>
          <w:bCs w:val="0"/>
          <w:rtl w:val="0"/>
          <w:lang w:val="en-US"/>
        </w:rPr>
        <w:t>s name from Special Gifts.  Dave Marks motioned for the amendment and Jon Siewers seconded.  PASSED</w:t>
      </w:r>
    </w:p>
    <w:p>
      <w:pPr>
        <w:pStyle w:val="Body"/>
        <w:rPr>
          <w:b w:val="0"/>
          <w:bCs w:val="0"/>
        </w:rPr>
      </w:pPr>
    </w:p>
    <w:p>
      <w:pPr>
        <w:pStyle w:val="Body"/>
        <w:rPr>
          <w:b w:val="0"/>
          <w:bCs w:val="0"/>
        </w:rPr>
      </w:pPr>
      <w:r>
        <w:rPr>
          <w:b w:val="1"/>
          <w:bCs w:val="1"/>
          <w:rtl w:val="0"/>
          <w:lang w:val="en-US"/>
        </w:rPr>
        <w:t xml:space="preserve">PNC:  </w:t>
      </w:r>
      <w:r>
        <w:rPr>
          <w:b w:val="0"/>
          <w:bCs w:val="0"/>
          <w:rtl w:val="0"/>
          <w:lang w:val="en-US"/>
        </w:rPr>
        <w:t xml:space="preserve">Pete Koester stated that the committee is continuing to interview candidates and a few recommendations.  He asked members to be cautionary when posting on social media as content may deter potential candidates. </w:t>
      </w:r>
    </w:p>
    <w:p>
      <w:pPr>
        <w:pStyle w:val="Body"/>
        <w:rPr>
          <w:b w:val="0"/>
          <w:bCs w:val="0"/>
        </w:rPr>
      </w:pPr>
    </w:p>
    <w:p>
      <w:pPr>
        <w:pStyle w:val="Body"/>
        <w:rPr>
          <w:b w:val="1"/>
          <w:bCs w:val="1"/>
        </w:rPr>
      </w:pPr>
      <w:r>
        <w:rPr>
          <w:b w:val="1"/>
          <w:bCs w:val="1"/>
          <w:rtl w:val="0"/>
          <w:lang w:val="en-US"/>
        </w:rPr>
        <w:t>Treasurer</w:t>
      </w:r>
      <w:r>
        <w:rPr>
          <w:b w:val="1"/>
          <w:bCs w:val="1"/>
          <w:rtl w:val="0"/>
          <w:lang w:val="en-US"/>
        </w:rPr>
        <w:t>’</w:t>
      </w:r>
      <w:r>
        <w:rPr>
          <w:b w:val="1"/>
          <w:bCs w:val="1"/>
          <w:rtl w:val="0"/>
          <w:lang w:val="en-US"/>
        </w:rPr>
        <w:t>s Report</w:t>
      </w:r>
    </w:p>
    <w:p>
      <w:pPr>
        <w:pStyle w:val="Body"/>
        <w:numPr>
          <w:ilvl w:val="0"/>
          <w:numId w:val="2"/>
        </w:numPr>
        <w:bidi w:val="0"/>
      </w:pPr>
      <w:r>
        <w:rPr>
          <w:rtl w:val="0"/>
        </w:rPr>
        <w:t>Operating Budget 2025.        Total income       Total expenses.           EOY Balance</w:t>
      </w:r>
    </w:p>
    <w:p>
      <w:pPr>
        <w:pStyle w:val="Body"/>
        <w:bidi w:val="0"/>
      </w:pPr>
      <w:r>
        <w:rPr>
          <w:rtl w:val="0"/>
        </w:rPr>
        <w:t xml:space="preserve">                                                 $585,001.00.       $599,790.00.            - $14,789.00</w:t>
      </w:r>
    </w:p>
    <w:p>
      <w:pPr>
        <w:pStyle w:val="Body"/>
        <w:bidi w:val="0"/>
      </w:pPr>
      <w:r>
        <w:rPr>
          <w:rtl w:val="0"/>
        </w:rPr>
        <w:t xml:space="preserve">                    Actual                   $627,414.00.       $588,655.00               $19,259.00 *1</w:t>
      </w:r>
    </w:p>
    <w:p>
      <w:pPr>
        <w:pStyle w:val="Body"/>
        <w:bidi w:val="0"/>
      </w:pPr>
      <w:r>
        <w:rPr>
          <w:rtl w:val="0"/>
        </w:rPr>
        <w:t>*1 Discounting 2026 prepays of $19,500.00</w:t>
      </w:r>
    </w:p>
    <w:p>
      <w:pPr>
        <w:pStyle w:val="Body"/>
        <w:numPr>
          <w:ilvl w:val="0"/>
          <w:numId w:val="2"/>
        </w:numPr>
        <w:bidi w:val="0"/>
      </w:pPr>
      <w:r>
        <w:rPr>
          <w:rtl w:val="0"/>
        </w:rPr>
        <w:t>Giving Statistics</w:t>
      </w:r>
    </w:p>
    <w:p>
      <w:pPr>
        <w:pStyle w:val="Body"/>
        <w:bidi w:val="0"/>
      </w:pPr>
      <w:r>
        <w:rPr>
          <w:rtl w:val="0"/>
        </w:rPr>
        <w:tab/>
        <w:t>Giving units (families):  143</w:t>
      </w:r>
    </w:p>
    <w:p>
      <w:pPr>
        <w:pStyle w:val="Body"/>
        <w:bidi w:val="0"/>
      </w:pPr>
      <w:r>
        <w:rPr>
          <w:rtl w:val="0"/>
        </w:rPr>
        <w:tab/>
        <w:t>Average contribution:  $3,536.00</w:t>
      </w:r>
    </w:p>
    <w:p>
      <w:pPr>
        <w:pStyle w:val="Body"/>
        <w:bidi w:val="0"/>
      </w:pPr>
      <w:r>
        <w:rPr>
          <w:rtl w:val="0"/>
        </w:rPr>
        <w:tab/>
        <w:t>Median contribution:  $1,450.00</w:t>
      </w:r>
    </w:p>
    <w:p>
      <w:pPr>
        <w:pStyle w:val="Body"/>
        <w:bidi w:val="0"/>
      </w:pPr>
    </w:p>
    <w:p>
      <w:pPr>
        <w:pStyle w:val="Body"/>
        <w:rPr>
          <w:b w:val="1"/>
          <w:bCs w:val="1"/>
        </w:rPr>
      </w:pPr>
      <w:r>
        <w:rPr>
          <w:b w:val="1"/>
          <w:bCs w:val="1"/>
          <w:rtl w:val="0"/>
          <w:lang w:val="en-US"/>
        </w:rPr>
        <w:t>2025 Contribution of Session Approved Funds</w:t>
      </w:r>
    </w:p>
    <w:p>
      <w:pPr>
        <w:pStyle w:val="Body"/>
        <w:bidi w:val="0"/>
      </w:pPr>
      <w:r>
        <w:rPr>
          <w:rtl w:val="0"/>
        </w:rPr>
        <w:tab/>
        <w:t>SUPPORT</w:t>
        <w:tab/>
        <w:tab/>
        <w:tab/>
        <w:tab/>
        <w:t>$573,691.00</w:t>
      </w:r>
    </w:p>
    <w:p>
      <w:pPr>
        <w:pStyle w:val="Body"/>
        <w:bidi w:val="0"/>
      </w:pPr>
      <w:r>
        <w:rPr>
          <w:rtl w:val="0"/>
        </w:rPr>
        <w:tab/>
        <w:t>CAPITAL</w:t>
        <w:tab/>
        <w:tab/>
        <w:tab/>
        <w:tab/>
        <w:t>$65,463.00</w:t>
      </w:r>
    </w:p>
    <w:p>
      <w:pPr>
        <w:pStyle w:val="Body"/>
        <w:bidi w:val="0"/>
      </w:pPr>
      <w:r>
        <w:rPr>
          <w:rtl w:val="0"/>
        </w:rPr>
        <w:tab/>
        <w:t>CHORAL SCHOLARS</w:t>
        <w:tab/>
        <w:tab/>
        <w:tab/>
        <w:t>$10,610.00</w:t>
      </w:r>
    </w:p>
    <w:p>
      <w:pPr>
        <w:pStyle w:val="Body"/>
        <w:bidi w:val="0"/>
      </w:pPr>
      <w:r>
        <w:rPr>
          <w:rtl w:val="0"/>
        </w:rPr>
        <w:tab/>
        <w:t>WYCLIFFE MISSIONARY SUPPORT</w:t>
        <w:tab/>
        <w:t>$18,074.00</w:t>
      </w:r>
    </w:p>
    <w:p>
      <w:pPr>
        <w:pStyle w:val="Body"/>
        <w:bidi w:val="0"/>
      </w:pPr>
      <w:r>
        <w:rPr>
          <w:rtl w:val="0"/>
        </w:rPr>
        <w:tab/>
        <w:t>ALL OTHER FUNDS</w:t>
        <w:tab/>
        <w:tab/>
        <w:tab/>
        <w:t>$47,456.00</w:t>
      </w:r>
    </w:p>
    <w:p>
      <w:pPr>
        <w:pStyle w:val="Body"/>
        <w:bidi w:val="0"/>
      </w:pPr>
      <w:r>
        <w:rPr>
          <w:rtl w:val="0"/>
        </w:rPr>
        <w:tab/>
        <w:t>All Funds for 2025</w:t>
        <w:tab/>
        <w:tab/>
        <w:tab/>
        <w:t>$715,284.00 Contributions</w:t>
      </w:r>
    </w:p>
    <w:p>
      <w:pPr>
        <w:pStyle w:val="Body"/>
        <w:bidi w:val="0"/>
      </w:pPr>
    </w:p>
    <w:p>
      <w:pPr>
        <w:pStyle w:val="Body"/>
        <w:rPr>
          <w:b w:val="1"/>
          <w:bCs w:val="1"/>
        </w:rPr>
      </w:pPr>
      <w:r>
        <w:rPr>
          <w:b w:val="1"/>
          <w:bCs w:val="1"/>
          <w:rtl w:val="0"/>
          <w:lang w:val="en-US"/>
        </w:rPr>
        <w:t>Pledges to 2026 Funds</w:t>
      </w:r>
    </w:p>
    <w:p>
      <w:pPr>
        <w:pStyle w:val="Body"/>
        <w:rPr>
          <w:b w:val="1"/>
          <w:bCs w:val="1"/>
        </w:rPr>
      </w:pPr>
      <w:r>
        <w:rPr>
          <w:b w:val="1"/>
          <w:bCs w:val="1"/>
          <w:rtl w:val="0"/>
        </w:rPr>
        <w:tab/>
        <w:tab/>
        <w:t>Fund</w:t>
        <w:tab/>
        <w:tab/>
        <w:tab/>
        <w:tab/>
        <w:t>Number</w:t>
        <w:tab/>
        <w:tab/>
        <w:t>value</w:t>
      </w:r>
    </w:p>
    <w:p>
      <w:pPr>
        <w:pStyle w:val="Body"/>
        <w:bidi w:val="0"/>
      </w:pPr>
      <w:r>
        <w:rPr>
          <w:rtl w:val="0"/>
        </w:rPr>
        <w:tab/>
        <w:tab/>
        <w:t>Support</w:t>
        <w:tab/>
        <w:tab/>
        <w:tab/>
        <w:t>75</w:t>
        <w:tab/>
        <w:tab/>
        <w:tab/>
        <w:t>$468,565.00</w:t>
      </w:r>
    </w:p>
    <w:p>
      <w:pPr>
        <w:pStyle w:val="Body"/>
        <w:bidi w:val="0"/>
      </w:pPr>
      <w:r>
        <w:rPr>
          <w:rtl w:val="0"/>
        </w:rPr>
        <w:tab/>
        <w:tab/>
        <w:t>Capital</w:t>
        <w:tab/>
        <w:tab/>
        <w:tab/>
        <w:tab/>
        <w:t>19</w:t>
        <w:tab/>
        <w:tab/>
        <w:tab/>
        <w:t>$23,480.00</w:t>
      </w:r>
    </w:p>
    <w:p>
      <w:pPr>
        <w:pStyle w:val="Body"/>
        <w:bidi w:val="0"/>
      </w:pPr>
      <w:r>
        <w:rPr>
          <w:rtl w:val="0"/>
        </w:rPr>
        <w:tab/>
        <w:tab/>
        <w:t>Choral Scholars</w:t>
        <w:tab/>
        <w:tab/>
        <w:t>23</w:t>
        <w:tab/>
        <w:tab/>
        <w:tab/>
        <w:t>$11,915.00</w:t>
      </w:r>
    </w:p>
    <w:p>
      <w:pPr>
        <w:pStyle w:val="Body"/>
        <w:bidi w:val="0"/>
      </w:pPr>
      <w:r>
        <w:rPr>
          <w:rtl w:val="0"/>
        </w:rPr>
        <w:tab/>
        <w:tab/>
        <w:t>Wycliffe Missionary</w:t>
        <w:tab/>
        <w:tab/>
        <w:t>19</w:t>
        <w:tab/>
        <w:tab/>
        <w:tab/>
        <w:t>$12,550.00</w:t>
      </w:r>
    </w:p>
    <w:p>
      <w:pPr>
        <w:pStyle w:val="Body"/>
        <w:bidi w:val="0"/>
      </w:pPr>
    </w:p>
    <w:p>
      <w:pPr>
        <w:pStyle w:val="Body"/>
        <w:rPr>
          <w:b w:val="1"/>
          <w:bCs w:val="1"/>
        </w:rPr>
      </w:pPr>
      <w:r>
        <w:rPr>
          <w:b w:val="1"/>
          <w:bCs w:val="1"/>
          <w:rtl w:val="0"/>
          <w:lang w:val="en-US"/>
        </w:rPr>
        <w:t>Forecasted income for 2026 - impacts to contributions</w:t>
      </w:r>
    </w:p>
    <w:p>
      <w:pPr>
        <w:pStyle w:val="Body"/>
        <w:numPr>
          <w:ilvl w:val="0"/>
          <w:numId w:val="2"/>
        </w:numPr>
        <w:bidi w:val="0"/>
      </w:pPr>
      <w:r>
        <w:rPr>
          <w:rtl w:val="0"/>
        </w:rPr>
        <w:t xml:space="preserve"> Negative $15,000.00 in prepays</w:t>
      </w:r>
    </w:p>
    <w:p>
      <w:pPr>
        <w:pStyle w:val="Body"/>
        <w:numPr>
          <w:ilvl w:val="0"/>
          <w:numId w:val="2"/>
        </w:numPr>
        <w:bidi w:val="0"/>
      </w:pPr>
      <w:r>
        <w:rPr>
          <w:rtl w:val="0"/>
        </w:rPr>
        <w:t xml:space="preserve">Pledged contributions are </w:t>
      </w:r>
      <w:r>
        <w:rPr>
          <w:b w:val="1"/>
          <w:bCs w:val="1"/>
          <w:rtl w:val="0"/>
          <w:lang w:val="en-US"/>
        </w:rPr>
        <w:t xml:space="preserve">up </w:t>
      </w:r>
      <w:r>
        <w:rPr>
          <w:rtl w:val="0"/>
        </w:rPr>
        <w:t>4.68% - good news!</w:t>
      </w:r>
    </w:p>
    <w:p>
      <w:pPr>
        <w:pStyle w:val="Body"/>
        <w:numPr>
          <w:ilvl w:val="0"/>
          <w:numId w:val="2"/>
        </w:numPr>
        <w:bidi w:val="0"/>
      </w:pPr>
      <w:r>
        <w:rPr>
          <w:rtl w:val="0"/>
        </w:rPr>
        <w:t>Entering other income from rental of the facilities</w:t>
      </w:r>
    </w:p>
    <w:p>
      <w:pPr>
        <w:pStyle w:val="Body"/>
        <w:numPr>
          <w:ilvl w:val="0"/>
          <w:numId w:val="2"/>
        </w:numPr>
        <w:bidi w:val="0"/>
      </w:pPr>
      <w:r>
        <w:rPr>
          <w:rtl w:val="0"/>
        </w:rPr>
        <w:t>Entering earnings from accounts</w:t>
      </w:r>
    </w:p>
    <w:p>
      <w:pPr>
        <w:pStyle w:val="Body"/>
        <w:rPr>
          <w:b w:val="1"/>
          <w:bCs w:val="1"/>
        </w:rPr>
      </w:pPr>
      <w:r>
        <w:rPr>
          <w:b w:val="1"/>
          <w:bCs w:val="1"/>
          <w:rtl w:val="0"/>
          <w:lang w:val="en-US"/>
        </w:rPr>
        <w:t>Texas Presbyterian Foundation</w:t>
      </w:r>
    </w:p>
    <w:p>
      <w:pPr>
        <w:pStyle w:val="Body"/>
        <w:numPr>
          <w:ilvl w:val="0"/>
          <w:numId w:val="2"/>
        </w:numPr>
        <w:bidi w:val="0"/>
      </w:pPr>
      <w:r>
        <w:rPr>
          <w:rtl w:val="0"/>
        </w:rPr>
        <w:t>End of January 2026 balance:  $200,175.30</w:t>
      </w:r>
    </w:p>
    <w:p>
      <w:pPr>
        <w:pStyle w:val="Body"/>
        <w:numPr>
          <w:ilvl w:val="0"/>
          <w:numId w:val="2"/>
        </w:numPr>
        <w:bidi w:val="0"/>
      </w:pPr>
      <w:r>
        <w:rPr>
          <w:rtl w:val="0"/>
        </w:rPr>
        <w:t>2025 earnings:  $6,496.01</w:t>
      </w:r>
    </w:p>
    <w:p>
      <w:pPr>
        <w:pStyle w:val="Body"/>
        <w:numPr>
          <w:ilvl w:val="0"/>
          <w:numId w:val="4"/>
        </w:numPr>
        <w:bidi w:val="0"/>
      </w:pPr>
      <w:r>
        <w:rPr>
          <w:rtl w:val="0"/>
        </w:rPr>
        <w:t xml:space="preserve">  Reinvested:  $2,208.64</w:t>
      </w:r>
    </w:p>
    <w:p>
      <w:pPr>
        <w:pStyle w:val="Body"/>
        <w:numPr>
          <w:ilvl w:val="0"/>
          <w:numId w:val="4"/>
        </w:numPr>
        <w:bidi w:val="0"/>
      </w:pPr>
      <w:r>
        <w:rPr>
          <w:rtl w:val="0"/>
        </w:rPr>
        <w:t>To missions:  $2,143.69</w:t>
      </w:r>
    </w:p>
    <w:p>
      <w:pPr>
        <w:pStyle w:val="Body"/>
        <w:numPr>
          <w:ilvl w:val="0"/>
          <w:numId w:val="4"/>
        </w:numPr>
        <w:bidi w:val="0"/>
      </w:pPr>
      <w:r>
        <w:rPr>
          <w:rtl w:val="0"/>
        </w:rPr>
        <w:t>Session use:  $2,143.68</w:t>
      </w:r>
    </w:p>
    <w:p>
      <w:pPr>
        <w:pStyle w:val="Body"/>
        <w:rPr>
          <w:b w:val="1"/>
          <w:bCs w:val="1"/>
        </w:rPr>
      </w:pPr>
    </w:p>
    <w:p>
      <w:pPr>
        <w:pStyle w:val="Body"/>
        <w:rPr>
          <w:b w:val="1"/>
          <w:bCs w:val="1"/>
        </w:rPr>
      </w:pPr>
      <w:r>
        <w:rPr>
          <w:b w:val="1"/>
          <w:bCs w:val="1"/>
          <w:rtl w:val="0"/>
          <w:lang w:val="en-US"/>
        </w:rPr>
        <w:t>Impacts on expense side of the 2026 budget</w:t>
      </w:r>
    </w:p>
    <w:p>
      <w:pPr>
        <w:pStyle w:val="Body"/>
        <w:rPr>
          <w:b w:val="1"/>
          <w:bCs w:val="1"/>
        </w:rPr>
      </w:pPr>
    </w:p>
    <w:p>
      <w:pPr>
        <w:pStyle w:val="Body"/>
        <w:bidi w:val="0"/>
      </w:pPr>
      <w:r>
        <w:rPr>
          <w:rtl w:val="0"/>
        </w:rPr>
        <w:t>Changes in budget request options since last report in November</w:t>
      </w:r>
    </w:p>
    <w:p>
      <w:pPr>
        <w:pStyle w:val="Body"/>
        <w:numPr>
          <w:ilvl w:val="0"/>
          <w:numId w:val="2"/>
        </w:numPr>
        <w:bidi w:val="0"/>
      </w:pPr>
      <w:r>
        <w:rPr>
          <w:rtl w:val="0"/>
        </w:rPr>
        <w:t>Personnel removed pay raise request for staff</w:t>
      </w:r>
    </w:p>
    <w:p>
      <w:pPr>
        <w:pStyle w:val="Body"/>
        <w:numPr>
          <w:ilvl w:val="0"/>
          <w:numId w:val="2"/>
        </w:numPr>
        <w:bidi w:val="0"/>
      </w:pPr>
      <w:r>
        <w:rPr>
          <w:rtl w:val="0"/>
        </w:rPr>
        <w:t>Personnel removed request to increase parish associate hours</w:t>
      </w:r>
    </w:p>
    <w:p>
      <w:pPr>
        <w:pStyle w:val="Body"/>
        <w:numPr>
          <w:ilvl w:val="0"/>
          <w:numId w:val="2"/>
        </w:numPr>
        <w:bidi w:val="0"/>
      </w:pPr>
      <w:r>
        <w:rPr>
          <w:rtl w:val="0"/>
        </w:rPr>
        <w:t>Maintain insurance for the entire year</w:t>
      </w:r>
    </w:p>
    <w:p>
      <w:pPr>
        <w:pStyle w:val="Body"/>
        <w:numPr>
          <w:ilvl w:val="0"/>
          <w:numId w:val="2"/>
        </w:numPr>
        <w:bidi w:val="0"/>
      </w:pPr>
      <w:r>
        <w:rPr>
          <w:rtl w:val="0"/>
        </w:rPr>
        <w:t>Choral scholars operating budget request off by pledges to choral support fund</w:t>
      </w:r>
    </w:p>
    <w:p>
      <w:pPr>
        <w:pStyle w:val="Body"/>
        <w:bidi w:val="0"/>
      </w:pPr>
      <w:r>
        <w:rPr>
          <w:rtl w:val="0"/>
        </w:rPr>
        <w:tab/>
        <w:t>`Item</w:t>
        <w:tab/>
        <w:tab/>
        <w:tab/>
        <w:tab/>
        <w:tab/>
        <w:tab/>
        <w:tab/>
        <w:tab/>
        <w:t>Estimated impact</w:t>
      </w:r>
    </w:p>
    <w:p>
      <w:pPr>
        <w:pStyle w:val="Body"/>
        <w:bidi w:val="0"/>
      </w:pPr>
      <w:r>
        <w:rPr>
          <w:rtl w:val="0"/>
        </w:rPr>
        <w:t>Insurance premium increase</w:t>
        <w:tab/>
        <w:tab/>
        <w:tab/>
        <w:tab/>
        <w:tab/>
        <w:tab/>
        <w:t>$38,000</w:t>
      </w:r>
    </w:p>
    <w:p>
      <w:pPr>
        <w:pStyle w:val="Body"/>
        <w:bidi w:val="0"/>
      </w:pPr>
      <w:r>
        <w:rPr>
          <w:rtl w:val="0"/>
        </w:rPr>
        <w:t>Mission requests</w:t>
        <w:tab/>
        <w:tab/>
        <w:tab/>
        <w:tab/>
        <w:tab/>
        <w:tab/>
        <w:tab/>
        <w:t>$4,800</w:t>
      </w:r>
    </w:p>
    <w:p>
      <w:pPr>
        <w:pStyle w:val="Body"/>
        <w:bidi w:val="0"/>
      </w:pPr>
      <w:r>
        <w:rPr>
          <w:rtl w:val="0"/>
        </w:rPr>
        <w:t>Support staff training options</w:t>
        <w:tab/>
        <w:tab/>
        <w:tab/>
        <w:tab/>
        <w:tab/>
        <w:tab/>
        <w:t>$4,000</w:t>
      </w:r>
    </w:p>
    <w:p>
      <w:pPr>
        <w:pStyle w:val="Body"/>
        <w:bidi w:val="0"/>
      </w:pPr>
      <w:r>
        <w:rPr>
          <w:rtl w:val="0"/>
        </w:rPr>
        <w:t>*Discussion was raised whether we continue insurance due to the increase premium and the deductible being $300,00.00. The  major repairs done for water damage to sanctuary did not amount to deductible, therefore, consideration to only have insurance for liability.  Kevin and Dennis Waehner will do further study on this issue.</w:t>
      </w:r>
    </w:p>
    <w:p>
      <w:pPr>
        <w:pStyle w:val="Body"/>
        <w:bidi w:val="0"/>
      </w:pPr>
    </w:p>
    <w:p>
      <w:pPr>
        <w:pStyle w:val="Body"/>
        <w:rPr>
          <w:b w:val="1"/>
          <w:bCs w:val="1"/>
        </w:rPr>
      </w:pPr>
      <w:r>
        <w:rPr>
          <w:b w:val="1"/>
          <w:bCs w:val="1"/>
          <w:rtl w:val="0"/>
          <w:lang w:val="en-US"/>
        </w:rPr>
        <w:t>2026 Proposed Operating Budget (26OB)</w:t>
      </w:r>
    </w:p>
    <w:p>
      <w:pPr>
        <w:pStyle w:val="Body"/>
        <w:rPr>
          <w:b w:val="1"/>
          <w:bCs w:val="1"/>
        </w:rPr>
      </w:pPr>
      <w:r>
        <w:rPr>
          <w:b w:val="1"/>
          <w:bCs w:val="1"/>
          <w:rtl w:val="0"/>
          <w:lang w:val="en-US"/>
        </w:rPr>
        <w:t>Year</w:t>
        <w:tab/>
        <w:tab/>
        <w:tab/>
        <w:t>Total Income</w:t>
        <w:tab/>
        <w:tab/>
        <w:tab/>
        <w:t>Total Expenses</w:t>
        <w:tab/>
        <w:tab/>
        <w:t>EOY Balance</w:t>
      </w:r>
    </w:p>
    <w:p>
      <w:pPr>
        <w:pStyle w:val="Body"/>
        <w:bidi w:val="0"/>
      </w:pPr>
      <w:r>
        <w:rPr>
          <w:rtl w:val="0"/>
        </w:rPr>
        <w:t>2025 OB Plan</w:t>
        <w:tab/>
        <w:tab/>
        <w:t>$585,001.00</w:t>
        <w:tab/>
        <w:tab/>
        <w:tab/>
        <w:t>$599,790.00</w:t>
        <w:tab/>
        <w:tab/>
        <w:tab/>
        <w:t>-$14,789.00</w:t>
      </w:r>
    </w:p>
    <w:p>
      <w:pPr>
        <w:pStyle w:val="Body"/>
        <w:bidi w:val="0"/>
      </w:pPr>
      <w:r>
        <w:rPr>
          <w:rtl w:val="0"/>
        </w:rPr>
        <w:t>2025 EOY Actual</w:t>
        <w:tab/>
        <w:t>$627,414.000</w:t>
        <w:tab/>
        <w:tab/>
        <w:tab/>
        <w:t>$588,655.00</w:t>
        <w:tab/>
        <w:tab/>
        <w:tab/>
        <w:t>$19,259.00</w:t>
      </w:r>
    </w:p>
    <w:p>
      <w:pPr>
        <w:pStyle w:val="Body"/>
        <w:bidi w:val="0"/>
        <w:rPr>
          <w:sz w:val="28"/>
          <w:szCs w:val="28"/>
        </w:rPr>
      </w:pPr>
      <w:r>
        <w:rPr>
          <w:sz w:val="28"/>
          <w:szCs w:val="28"/>
          <w:rtl w:val="0"/>
          <w:lang w:val="en-US"/>
        </w:rPr>
        <w:t>2026 OB</w:t>
        <w:tab/>
        <w:tab/>
        <w:t>$577,500.00</w:t>
        <w:tab/>
        <w:tab/>
        <w:t>$641,352.00</w:t>
        <w:tab/>
        <w:t xml:space="preserve">        -$63,852.00</w:t>
      </w:r>
    </w:p>
    <w:p>
      <w:pPr>
        <w:pStyle w:val="Body"/>
        <w:bidi w:val="0"/>
        <w:rPr>
          <w:sz w:val="28"/>
          <w:szCs w:val="28"/>
        </w:rPr>
      </w:pPr>
    </w:p>
    <w:p>
      <w:pPr>
        <w:pStyle w:val="Body"/>
        <w:rPr>
          <w:b w:val="1"/>
          <w:bCs w:val="1"/>
        </w:rPr>
      </w:pPr>
      <w:r>
        <w:rPr>
          <w:b w:val="1"/>
          <w:bCs w:val="1"/>
          <w:rtl w:val="0"/>
          <w:lang w:val="en-US"/>
        </w:rPr>
        <w:t>New Business</w:t>
      </w:r>
    </w:p>
    <w:p>
      <w:pPr>
        <w:pStyle w:val="Body"/>
        <w:bidi w:val="0"/>
      </w:pPr>
      <w:r>
        <w:rPr>
          <w:rtl w:val="0"/>
        </w:rPr>
        <w:t>Jon Siewers spoke to members about inviting family and friends to join in worship.  We need to welcome new, younger visitors as our membership at WPC ages.</w:t>
      </w:r>
    </w:p>
    <w:p>
      <w:pPr>
        <w:pStyle w:val="Body"/>
        <w:bidi w:val="0"/>
      </w:pPr>
    </w:p>
    <w:p>
      <w:pPr>
        <w:pStyle w:val="Body"/>
        <w:rPr>
          <w:b w:val="0"/>
          <w:bCs w:val="0"/>
        </w:rPr>
      </w:pPr>
      <w:r>
        <w:rPr>
          <w:b w:val="1"/>
          <w:bCs w:val="1"/>
          <w:rtl w:val="0"/>
          <w:lang w:val="en-US"/>
        </w:rPr>
        <w:t xml:space="preserve">Motion to Adjourn:  </w:t>
      </w:r>
      <w:r>
        <w:rPr>
          <w:b w:val="0"/>
          <w:bCs w:val="0"/>
          <w:rtl w:val="0"/>
          <w:lang w:val="en-US"/>
        </w:rPr>
        <w:t>Michael Cooper made a motion to adjourn and Pat Koester seconded the motion.  Motion PASSED at 12.02pm</w:t>
      </w:r>
    </w:p>
    <w:p>
      <w:pPr>
        <w:pStyle w:val="Body"/>
        <w:rPr>
          <w:b w:val="0"/>
          <w:bCs w:val="0"/>
        </w:rPr>
      </w:pPr>
    </w:p>
    <w:p>
      <w:pPr>
        <w:pStyle w:val="Body"/>
        <w:rPr>
          <w:b w:val="0"/>
          <w:bCs w:val="0"/>
        </w:rPr>
      </w:pPr>
      <w:r>
        <w:rPr>
          <w:b w:val="1"/>
          <w:bCs w:val="1"/>
          <w:rtl w:val="0"/>
          <w:lang w:val="en-US"/>
        </w:rPr>
        <w:t xml:space="preserve">Closing Prayer:  </w:t>
      </w:r>
      <w:r>
        <w:rPr>
          <w:b w:val="0"/>
          <w:bCs w:val="0"/>
          <w:rtl w:val="0"/>
          <w:lang w:val="en-US"/>
        </w:rPr>
        <w:t>Parish Pastor Kathy Sebring</w:t>
      </w:r>
    </w:p>
    <w:p>
      <w:pPr>
        <w:pStyle w:val="Body"/>
        <w:bidi w:val="0"/>
        <w:rPr>
          <w:sz w:val="28"/>
          <w:szCs w:val="28"/>
        </w:rPr>
      </w:pPr>
    </w:p>
    <w:p>
      <w:pPr>
        <w:pStyle w:val="Body"/>
        <w:bidi w:val="0"/>
      </w:pPr>
      <w:r>
        <w:tab/>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20.2pt;height:20.2pt;">
        <v:imagedata r:id="rId1" o:title="bullet_circle-blk-resize.png"/>
      </v:shape>
    </w:pict>
  </w:numPicBullet>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Image"/>
  </w:abstractNum>
  <w:abstractNum w:abstractNumId="3">
    <w:multiLevelType w:val="hybridMultilevel"/>
    <w:styleLink w:val="Image"/>
    <w:lvl w:ilvl="0">
      <w:start w:val="1"/>
      <w:numFmt w:val="bullet"/>
      <w:suff w:val="tab"/>
      <w:lvlText w:val="•"/>
      <w:lvlPicBulletId w:val="0"/>
      <w:lvlJc w:val="left"/>
      <w:pPr>
        <w:ind w:left="22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1">
      <w:start w:val="1"/>
      <w:numFmt w:val="bullet"/>
      <w:suff w:val="tab"/>
      <w:lvlText w:val="•"/>
      <w:lvlPicBulletId w:val="0"/>
      <w:lvlJc w:val="left"/>
      <w:pPr>
        <w:ind w:left="46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2">
      <w:start w:val="1"/>
      <w:numFmt w:val="bullet"/>
      <w:suff w:val="tab"/>
      <w:lvlText w:val="•"/>
      <w:lvlPicBulletId w:val="0"/>
      <w:lvlJc w:val="left"/>
      <w:pPr>
        <w:ind w:left="70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3">
      <w:start w:val="1"/>
      <w:numFmt w:val="bullet"/>
      <w:suff w:val="tab"/>
      <w:lvlText w:val="•"/>
      <w:lvlPicBulletId w:val="0"/>
      <w:lvlJc w:val="left"/>
      <w:pPr>
        <w:ind w:left="94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4">
      <w:start w:val="1"/>
      <w:numFmt w:val="bullet"/>
      <w:suff w:val="tab"/>
      <w:lvlText w:val="•"/>
      <w:lvlPicBulletId w:val="0"/>
      <w:lvlJc w:val="left"/>
      <w:pPr>
        <w:ind w:left="118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5">
      <w:start w:val="1"/>
      <w:numFmt w:val="bullet"/>
      <w:suff w:val="tab"/>
      <w:lvlText w:val="•"/>
      <w:lvlPicBulletId w:val="0"/>
      <w:lvlJc w:val="left"/>
      <w:pPr>
        <w:ind w:left="142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6">
      <w:start w:val="1"/>
      <w:numFmt w:val="bullet"/>
      <w:suff w:val="tab"/>
      <w:lvlText w:val="•"/>
      <w:lvlPicBulletId w:val="0"/>
      <w:lvlJc w:val="left"/>
      <w:pPr>
        <w:ind w:left="166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7">
      <w:start w:val="1"/>
      <w:numFmt w:val="bullet"/>
      <w:suff w:val="tab"/>
      <w:lvlText w:val="•"/>
      <w:lvlPicBulletId w:val="0"/>
      <w:lvlJc w:val="left"/>
      <w:pPr>
        <w:ind w:left="190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8">
      <w:start w:val="1"/>
      <w:numFmt w:val="bullet"/>
      <w:suff w:val="tab"/>
      <w:lvlText w:val="•"/>
      <w:lvlPicBulletId w:val="0"/>
      <w:lvlJc w:val="left"/>
      <w:pPr>
        <w:ind w:left="214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Image">
    <w:name w:val="Image"/>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