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Texas</w:t>
      </w:r>
      <w:r w:rsidR="00710B6A">
        <w:rPr>
          <w:rFonts w:asciiTheme="minorHAnsi" w:hAnsiTheme="minorHAnsi" w:cstheme="minorHAnsi"/>
        </w:rPr>
        <w:t xml:space="preserve">  </w:t>
      </w:r>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7A748D11"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DA2D7F">
        <w:rPr>
          <w:rFonts w:asciiTheme="minorHAnsi" w:hAnsiTheme="minorHAnsi" w:cstheme="minorHAnsi"/>
        </w:rPr>
        <w:t>January 1</w:t>
      </w:r>
      <w:r w:rsidR="00D75208">
        <w:rPr>
          <w:rFonts w:asciiTheme="minorHAnsi" w:hAnsiTheme="minorHAnsi" w:cstheme="minorHAnsi"/>
        </w:rPr>
        <w:t>,</w:t>
      </w:r>
      <w:r w:rsidRPr="0064577B">
        <w:rPr>
          <w:rFonts w:asciiTheme="minorHAnsi" w:hAnsiTheme="minorHAnsi" w:cstheme="minorHAnsi"/>
        </w:rPr>
        <w:t xml:space="preserve"> 20</w:t>
      </w:r>
      <w:r w:rsidR="00E75C51">
        <w:rPr>
          <w:rFonts w:asciiTheme="minorHAnsi" w:hAnsiTheme="minorHAnsi" w:cstheme="minorHAnsi"/>
        </w:rPr>
        <w:t>2</w:t>
      </w:r>
      <w:r w:rsidR="00C25A07">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 xml:space="preserve">and ending </w:t>
      </w:r>
      <w:r w:rsidR="00DA2D7F">
        <w:rPr>
          <w:rFonts w:asciiTheme="minorHAnsi" w:hAnsiTheme="minorHAnsi" w:cstheme="minorHAnsi"/>
        </w:rPr>
        <w:t>April 30, 2024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134796A5"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C25A07">
        <w:rPr>
          <w:rFonts w:asciiTheme="minorHAnsi" w:hAnsiTheme="minorHAnsi" w:cstheme="minorHAnsi"/>
        </w:rPr>
        <w:t xml:space="preserve"> prior to retirement on April 30, 2024</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DA2D7F">
        <w:rPr>
          <w:rFonts w:asciiTheme="minorHAnsi" w:hAnsiTheme="minorHAnsi" w:cstheme="minorHAnsi"/>
        </w:rPr>
        <w:t>$10,667.</w:t>
      </w:r>
      <w:r w:rsidR="00FF6ACB" w:rsidRPr="00DC6896">
        <w:rPr>
          <w:rFonts w:asciiTheme="minorHAnsi" w:hAnsiTheme="minorHAnsi" w:cstheme="minorHAnsi"/>
        </w:rPr>
        <w:t xml:space="preserve"> salary &amp; housing</w:t>
      </w:r>
      <w:r w:rsidR="00D4224D">
        <w:rPr>
          <w:rFonts w:asciiTheme="minorHAnsi" w:hAnsiTheme="minorHAnsi" w:cstheme="minorHAnsi"/>
        </w:rPr>
        <w:t xml:space="preserve"> (32000 annualized) </w:t>
      </w:r>
      <w:r w:rsidR="00FF6ACB" w:rsidRPr="00DC6896">
        <w:rPr>
          <w:rFonts w:asciiTheme="minorHAnsi" w:hAnsiTheme="minorHAnsi" w:cstheme="minorHAnsi"/>
        </w:rPr>
        <w:t>plus reimbursement of $</w:t>
      </w:r>
      <w:r w:rsidR="00D4224D">
        <w:rPr>
          <w:rFonts w:asciiTheme="minorHAnsi" w:hAnsiTheme="minorHAnsi" w:cstheme="minorHAnsi"/>
        </w:rPr>
        <w:t>1</w:t>
      </w:r>
      <w:r w:rsidR="00DA2D7F">
        <w:rPr>
          <w:rFonts w:asciiTheme="minorHAnsi" w:hAnsiTheme="minorHAnsi" w:cstheme="minorHAnsi"/>
        </w:rPr>
        <w:t>576</w:t>
      </w:r>
      <w:r w:rsidR="00D4224D">
        <w:rPr>
          <w:rFonts w:asciiTheme="minorHAnsi" w:hAnsiTheme="minorHAnsi" w:cstheme="minorHAnsi"/>
        </w:rPr>
        <w:t xml:space="preserve"> ($394 x </w:t>
      </w:r>
      <w:r w:rsidR="00DA2D7F">
        <w:rPr>
          <w:rFonts w:asciiTheme="minorHAnsi" w:hAnsiTheme="minorHAnsi" w:cstheme="minorHAnsi"/>
        </w:rPr>
        <w:t>4</w:t>
      </w:r>
      <w:r w:rsidR="00D4224D">
        <w:rPr>
          <w:rFonts w:asciiTheme="minorHAnsi" w:hAnsiTheme="minorHAnsi" w:cstheme="minorHAnsi"/>
        </w:rPr>
        <w:t>)</w:t>
      </w:r>
      <w:r w:rsidR="00FF6ACB" w:rsidRPr="00DC6896">
        <w:rPr>
          <w:rFonts w:asciiTheme="minorHAnsi" w:hAnsiTheme="minorHAnsi" w:cstheme="minorHAnsi"/>
        </w:rPr>
        <w:t>. medical/health care insurance reimbursement (arranged separately) through April 2024 when Clergyperson will retire via Board of Pensions. He plans to continue working for this church after</w:t>
      </w:r>
      <w:r w:rsidR="00DA2D7F">
        <w:rPr>
          <w:rFonts w:asciiTheme="minorHAnsi" w:hAnsiTheme="minorHAnsi" w:cstheme="minorHAnsi"/>
        </w:rPr>
        <w:t xml:space="preserve"> Board of Pensions</w:t>
      </w:r>
      <w:r w:rsidR="00FF6ACB" w:rsidRPr="00DC6896">
        <w:rPr>
          <w:rFonts w:asciiTheme="minorHAnsi" w:hAnsiTheme="minorHAnsi" w:cstheme="minorHAnsi"/>
        </w:rPr>
        <w:t xml:space="preserve"> retirement on April</w:t>
      </w:r>
      <w:r w:rsidR="00DA2D7F">
        <w:rPr>
          <w:rFonts w:asciiTheme="minorHAnsi" w:hAnsiTheme="minorHAnsi" w:cstheme="minorHAnsi"/>
        </w:rPr>
        <w:t xml:space="preserve"> </w:t>
      </w:r>
      <w:r w:rsidR="00FF6ACB" w:rsidRPr="00DC6896">
        <w:rPr>
          <w:rFonts w:asciiTheme="minorHAnsi" w:hAnsiTheme="minorHAnsi" w:cstheme="minorHAnsi"/>
        </w:rPr>
        <w:t xml:space="preserve">30, 2024 and will be covered </w:t>
      </w:r>
      <w:r w:rsidR="000E54AA">
        <w:rPr>
          <w:rFonts w:asciiTheme="minorHAnsi" w:hAnsiTheme="minorHAnsi" w:cstheme="minorHAnsi"/>
        </w:rPr>
        <w:t>by</w:t>
      </w:r>
      <w:r w:rsidR="00FF6ACB" w:rsidRPr="00DC6896">
        <w:rPr>
          <w:rFonts w:asciiTheme="minorHAnsi" w:hAnsiTheme="minorHAnsi" w:cstheme="minorHAnsi"/>
        </w:rPr>
        <w:t xml:space="preserve"> Medicare beginning May 1, 2024.</w:t>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lastRenderedPageBreak/>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(i.e.</w:t>
      </w:r>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5647289"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C25A07">
              <w:t>**</w:t>
            </w:r>
            <w:r w:rsidR="0078783D">
              <w:t>For 4 months 1/1/24 – 4/30/24</w:t>
            </w:r>
          </w:p>
        </w:tc>
        <w:tc>
          <w:tcPr>
            <w:tcW w:w="2160" w:type="dxa"/>
            <w:vAlign w:val="bottom"/>
          </w:tcPr>
          <w:p w14:paraId="0848C6D4" w14:textId="7F8D745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r w:rsidR="0078783D">
              <w:rPr>
                <w:rFonts w:asciiTheme="minorHAnsi" w:eastAsia="Times New Roman" w:hAnsiTheme="minorHAnsi" w:cstheme="minorHAnsi"/>
                <w:sz w:val="32"/>
                <w:szCs w:val="32"/>
                <w:lang w:bidi="ar-SA"/>
              </w:rPr>
              <w:t>1576.</w:t>
            </w:r>
            <w:r w:rsidR="005230E5">
              <w:rPr>
                <w:rFonts w:asciiTheme="minorHAnsi" w:eastAsia="Times New Roman" w:hAnsiTheme="minorHAnsi" w:cstheme="minorHAnsi"/>
                <w:sz w:val="32"/>
                <w:szCs w:val="32"/>
                <w:lang w:bidi="ar-SA"/>
              </w:rPr>
              <w:t>**</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43214A"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5230E5">
              <w:rPr>
                <w:rFonts w:asciiTheme="minorHAnsi" w:eastAsia="Times New Roman" w:hAnsiTheme="minorHAnsi" w:cstheme="minorHAnsi"/>
                <w:b/>
                <w:sz w:val="32"/>
                <w:szCs w:val="32"/>
                <w:lang w:bidi="ar-SA"/>
              </w:rPr>
              <w:t xml:space="preserve">     33,</w:t>
            </w:r>
            <w:r w:rsidR="00B8167F">
              <w:rPr>
                <w:rFonts w:asciiTheme="minorHAnsi" w:eastAsia="Times New Roman" w:hAnsiTheme="minorHAnsi" w:cstheme="minorHAnsi"/>
                <w:b/>
                <w:sz w:val="32"/>
                <w:szCs w:val="32"/>
                <w:lang w:bidi="ar-SA"/>
              </w:rPr>
              <w:t>576.</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5C9412C9"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r w:rsidR="00C25A07">
              <w:rPr>
                <w:rFonts w:asciiTheme="minorHAnsi" w:hAnsiTheme="minorHAnsi" w:cstheme="minorHAnsi"/>
                <w:b/>
              </w:rPr>
              <w:t xml:space="preserve"> </w:t>
            </w:r>
            <w:r w:rsidR="008B1E30">
              <w:rPr>
                <w:rFonts w:asciiTheme="minorHAnsi" w:hAnsiTheme="minorHAnsi" w:cstheme="minorHAnsi"/>
                <w:b/>
              </w:rPr>
              <w:t xml:space="preserve"> - 4 months</w:t>
            </w:r>
          </w:p>
        </w:tc>
        <w:tc>
          <w:tcPr>
            <w:tcW w:w="2160" w:type="dxa"/>
            <w:vAlign w:val="bottom"/>
          </w:tcPr>
          <w:p w14:paraId="589305F6" w14:textId="6CB0B84E"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A059D6">
              <w:rPr>
                <w:rFonts w:asciiTheme="minorHAnsi" w:eastAsia="Times New Roman" w:hAnsiTheme="minorHAnsi" w:cstheme="minorHAnsi"/>
                <w:sz w:val="32"/>
                <w:szCs w:val="32"/>
                <w:lang w:bidi="ar-SA"/>
              </w:rPr>
              <w:t xml:space="preserve">         </w:t>
            </w:r>
            <w:r w:rsidR="00C25A07">
              <w:rPr>
                <w:rFonts w:asciiTheme="minorHAnsi" w:eastAsia="Times New Roman" w:hAnsiTheme="minorHAnsi" w:cstheme="minorHAnsi"/>
                <w:sz w:val="32"/>
                <w:szCs w:val="32"/>
                <w:lang w:bidi="ar-SA"/>
              </w:rPr>
              <w:t>400</w:t>
            </w:r>
            <w:r w:rsidR="00A059D6">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leave,</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example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4E2F8E93"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A059D6">
              <w:rPr>
                <w:rFonts w:asciiTheme="minorHAnsi" w:eastAsia="Times New Roman" w:hAnsiTheme="minorHAnsi" w:cstheme="minorHAnsi"/>
                <w:b/>
                <w:sz w:val="32"/>
                <w:szCs w:val="32"/>
                <w:lang w:bidi="ar-SA"/>
              </w:rPr>
              <w:t xml:space="preserve">      </w:t>
            </w:r>
            <w:r w:rsidR="004E25D1">
              <w:rPr>
                <w:rFonts w:asciiTheme="minorHAnsi" w:eastAsia="Times New Roman" w:hAnsiTheme="minorHAnsi" w:cstheme="minorHAnsi"/>
                <w:b/>
                <w:sz w:val="32"/>
                <w:szCs w:val="32"/>
                <w:lang w:bidi="ar-SA"/>
              </w:rPr>
              <w:t>400</w:t>
            </w:r>
            <w:r w:rsidR="00A059D6">
              <w:rPr>
                <w:rFonts w:asciiTheme="minorHAnsi" w:eastAsia="Times New Roman" w:hAnsiTheme="minorHAnsi" w:cstheme="minorHAnsi"/>
                <w:b/>
                <w:sz w:val="32"/>
                <w:szCs w:val="32"/>
                <w:lang w:bidi="ar-SA"/>
              </w:rPr>
              <w:t>.</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Rate  (2018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2837B526" w:rsidR="00850BA9" w:rsidRPr="0064577B" w:rsidRDefault="004E2624"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1</w:t>
            </w:r>
            <w:r w:rsidR="002757F8">
              <w:rPr>
                <w:rFonts w:asciiTheme="minorHAnsi" w:eastAsia="Times New Roman" w:hAnsiTheme="minorHAnsi" w:cstheme="minorHAnsi"/>
                <w:sz w:val="32"/>
                <w:szCs w:val="32"/>
                <w:lang w:bidi="ar-SA"/>
              </w:rPr>
              <w:t xml:space="preserve"> week vacation</w:t>
            </w:r>
            <w:r>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1536DDA2"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7FC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2B21BE45"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A059D6">
        <w:rPr>
          <w:rFonts w:asciiTheme="minorHAnsi" w:hAnsiTheme="minorHAnsi" w:cstheme="minorHAnsi"/>
          <w:b/>
          <w:iCs/>
          <w:u w:val="single"/>
        </w:rPr>
        <w:t xml:space="preserve">     </w:t>
      </w:r>
      <w:r w:rsidR="004E25D1">
        <w:rPr>
          <w:rFonts w:asciiTheme="minorHAnsi" w:hAnsiTheme="minorHAnsi" w:cstheme="minorHAnsi"/>
          <w:b/>
          <w:iCs/>
          <w:u w:val="single"/>
        </w:rPr>
        <w:t>33,976.</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6BD63C1"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D455893"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A059D6">
        <w:rPr>
          <w:rFonts w:asciiTheme="minorHAnsi" w:hAnsiTheme="minorHAnsi" w:cstheme="minorHAnsi"/>
          <w:u w:val="single"/>
        </w:rPr>
        <w:t xml:space="preserve">  Thomas </w:t>
      </w:r>
      <w:r w:rsidR="00D75208">
        <w:rPr>
          <w:rFonts w:asciiTheme="minorHAnsi" w:hAnsiTheme="minorHAnsi" w:cstheme="minorHAnsi"/>
          <w:u w:val="single"/>
        </w:rPr>
        <w:t xml:space="preserve">P. </w:t>
      </w:r>
      <w:r w:rsidR="00A059D6">
        <w:rPr>
          <w:rFonts w:asciiTheme="minorHAnsi" w:hAnsiTheme="minorHAnsi" w:cstheme="minorHAnsi"/>
          <w:u w:val="single"/>
        </w:rPr>
        <w:t xml:space="preserve">Sharon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default" r:id="rId8"/>
      <w:footerReference w:type="default" r:id="rId9"/>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C82A" w14:textId="77777777" w:rsidR="00F326FF" w:rsidRDefault="00F326FF">
      <w:r>
        <w:separator/>
      </w:r>
    </w:p>
  </w:endnote>
  <w:endnote w:type="continuationSeparator" w:id="0">
    <w:p w14:paraId="04FAEDD3" w14:textId="77777777" w:rsidR="00F326FF" w:rsidRDefault="00F3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75DB538D"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t>T</w:t>
                          </w:r>
                          <w:r w:rsidR="006B17D6">
                            <w:t>h</w:t>
                          </w:r>
                          <w:r>
                            <w:t>om</w:t>
                          </w:r>
                          <w:r w:rsidR="006B17D6">
                            <w:t>as P.</w:t>
                          </w:r>
                          <w:r>
                            <w:t xml:space="preserve"> Sharon</w:t>
                          </w:r>
                          <w:r w:rsidR="00406760">
                            <w:t xml:space="preserve">       </w:t>
                          </w:r>
                          <w:r>
                            <w:t xml:space="preserve">August </w:t>
                          </w:r>
                          <w:r w:rsidR="006B17D6">
                            <w:t>22</w:t>
                          </w:r>
                          <w:r>
                            <w:t>,</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75DB538D"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t>T</w:t>
                    </w:r>
                    <w:r w:rsidR="006B17D6">
                      <w:t>h</w:t>
                    </w:r>
                    <w:r>
                      <w:t>om</w:t>
                    </w:r>
                    <w:r w:rsidR="006B17D6">
                      <w:t>as P.</w:t>
                    </w:r>
                    <w:r>
                      <w:t xml:space="preserve"> Sharon</w:t>
                    </w:r>
                    <w:r w:rsidR="00406760">
                      <w:t xml:space="preserve">       </w:t>
                    </w:r>
                    <w:r>
                      <w:t xml:space="preserve">August </w:t>
                    </w:r>
                    <w:r w:rsidR="006B17D6">
                      <w:t>22</w:t>
                    </w:r>
                    <w:r>
                      <w:t>,</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C8D" w14:textId="77777777" w:rsidR="00F326FF" w:rsidRDefault="00F326FF">
      <w:r>
        <w:separator/>
      </w:r>
    </w:p>
  </w:footnote>
  <w:footnote w:type="continuationSeparator" w:id="0">
    <w:p w14:paraId="11792568" w14:textId="77777777" w:rsidR="00F326FF" w:rsidRDefault="00F326FF">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924AB"/>
    <w:rsid w:val="000B05FA"/>
    <w:rsid w:val="000B760B"/>
    <w:rsid w:val="000E54AA"/>
    <w:rsid w:val="00116CB7"/>
    <w:rsid w:val="00140053"/>
    <w:rsid w:val="001767F8"/>
    <w:rsid w:val="00191866"/>
    <w:rsid w:val="001C3C97"/>
    <w:rsid w:val="001D10AC"/>
    <w:rsid w:val="00255C8A"/>
    <w:rsid w:val="002639B2"/>
    <w:rsid w:val="002757F8"/>
    <w:rsid w:val="002E2974"/>
    <w:rsid w:val="002F27D5"/>
    <w:rsid w:val="0030725B"/>
    <w:rsid w:val="00332020"/>
    <w:rsid w:val="0036657D"/>
    <w:rsid w:val="0037427E"/>
    <w:rsid w:val="00380D63"/>
    <w:rsid w:val="00395A82"/>
    <w:rsid w:val="003A2A7F"/>
    <w:rsid w:val="003D5A92"/>
    <w:rsid w:val="00406760"/>
    <w:rsid w:val="004163F8"/>
    <w:rsid w:val="004326AB"/>
    <w:rsid w:val="00456B2D"/>
    <w:rsid w:val="004660DE"/>
    <w:rsid w:val="0047487E"/>
    <w:rsid w:val="004E25D1"/>
    <w:rsid w:val="004E2624"/>
    <w:rsid w:val="004F1BE3"/>
    <w:rsid w:val="005230E5"/>
    <w:rsid w:val="005825B4"/>
    <w:rsid w:val="005861F3"/>
    <w:rsid w:val="0064577B"/>
    <w:rsid w:val="006500C0"/>
    <w:rsid w:val="00657B17"/>
    <w:rsid w:val="006904B2"/>
    <w:rsid w:val="006B17D6"/>
    <w:rsid w:val="006C5B99"/>
    <w:rsid w:val="00710B6A"/>
    <w:rsid w:val="007831B5"/>
    <w:rsid w:val="0078783D"/>
    <w:rsid w:val="007F5010"/>
    <w:rsid w:val="00850BA9"/>
    <w:rsid w:val="00853336"/>
    <w:rsid w:val="00855ADD"/>
    <w:rsid w:val="00871620"/>
    <w:rsid w:val="008B1E30"/>
    <w:rsid w:val="00911CF7"/>
    <w:rsid w:val="009322AB"/>
    <w:rsid w:val="0094380C"/>
    <w:rsid w:val="0095045A"/>
    <w:rsid w:val="00960A44"/>
    <w:rsid w:val="00960CDB"/>
    <w:rsid w:val="009A091F"/>
    <w:rsid w:val="009D20E8"/>
    <w:rsid w:val="00A059D6"/>
    <w:rsid w:val="00A31038"/>
    <w:rsid w:val="00A651AD"/>
    <w:rsid w:val="00AA5776"/>
    <w:rsid w:val="00AB419C"/>
    <w:rsid w:val="00AC6B52"/>
    <w:rsid w:val="00AF763F"/>
    <w:rsid w:val="00B05853"/>
    <w:rsid w:val="00B50E28"/>
    <w:rsid w:val="00B66308"/>
    <w:rsid w:val="00B70B0C"/>
    <w:rsid w:val="00B7404D"/>
    <w:rsid w:val="00B8167F"/>
    <w:rsid w:val="00BB78F2"/>
    <w:rsid w:val="00BC3CC4"/>
    <w:rsid w:val="00BC6ED3"/>
    <w:rsid w:val="00C25A07"/>
    <w:rsid w:val="00CB68CF"/>
    <w:rsid w:val="00D03160"/>
    <w:rsid w:val="00D4224D"/>
    <w:rsid w:val="00D46BFB"/>
    <w:rsid w:val="00D64129"/>
    <w:rsid w:val="00D75208"/>
    <w:rsid w:val="00DA2D7F"/>
    <w:rsid w:val="00DC6896"/>
    <w:rsid w:val="00DC7583"/>
    <w:rsid w:val="00DD3440"/>
    <w:rsid w:val="00DF79EB"/>
    <w:rsid w:val="00E57FCD"/>
    <w:rsid w:val="00E75C51"/>
    <w:rsid w:val="00EA311C"/>
    <w:rsid w:val="00EB5D8B"/>
    <w:rsid w:val="00EF3F79"/>
    <w:rsid w:val="00F3157A"/>
    <w:rsid w:val="00F326FF"/>
    <w:rsid w:val="00F41406"/>
    <w:rsid w:val="00F61F39"/>
    <w:rsid w:val="00F65BAB"/>
    <w:rsid w:val="00F74BC0"/>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6</cp:revision>
  <cp:lastPrinted>2018-11-06T22:30:00Z</cp:lastPrinted>
  <dcterms:created xsi:type="dcterms:W3CDTF">2023-08-17T18:37:00Z</dcterms:created>
  <dcterms:modified xsi:type="dcterms:W3CDTF">2023-08-18T00:31:00Z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